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81" w:rsidRPr="00550FB5" w:rsidRDefault="00694F81" w:rsidP="001C1FCC">
      <w:pPr>
        <w:spacing w:after="0" w:line="240" w:lineRule="auto"/>
        <w:jc w:val="center"/>
        <w:rPr>
          <w:rFonts w:ascii="Times New Roman" w:hAnsi="Times New Roman" w:cs="Times New Roman"/>
          <w:b/>
          <w:bCs/>
          <w:sz w:val="28"/>
          <w:szCs w:val="28"/>
        </w:rPr>
      </w:pPr>
      <w:r w:rsidRPr="00550FB5">
        <w:rPr>
          <w:rFonts w:ascii="Times New Roman" w:hAnsi="Times New Roman" w:cs="Times New Roman"/>
          <w:b/>
          <w:bCs/>
          <w:sz w:val="28"/>
          <w:szCs w:val="28"/>
        </w:rPr>
        <w:t xml:space="preserve">„Street </w:t>
      </w:r>
      <w:r>
        <w:rPr>
          <w:rFonts w:ascii="Times New Roman" w:hAnsi="Times New Roman" w:cs="Times New Roman"/>
          <w:b/>
          <w:bCs/>
          <w:sz w:val="28"/>
          <w:szCs w:val="28"/>
        </w:rPr>
        <w:t>Handball</w:t>
      </w:r>
      <w:r w:rsidRPr="00550FB5">
        <w:rPr>
          <w:rFonts w:ascii="Times New Roman" w:hAnsi="Times New Roman" w:cs="Times New Roman"/>
          <w:b/>
          <w:bCs/>
          <w:sz w:val="28"/>
          <w:szCs w:val="28"/>
        </w:rPr>
        <w:t>” 2014</w:t>
      </w:r>
      <w:bookmarkStart w:id="0" w:name="_GoBack"/>
      <w:bookmarkEnd w:id="0"/>
      <w:r w:rsidRPr="00550FB5">
        <w:rPr>
          <w:rFonts w:ascii="Times New Roman" w:hAnsi="Times New Roman" w:cs="Times New Roman"/>
          <w:b/>
          <w:bCs/>
          <w:sz w:val="28"/>
          <w:szCs w:val="28"/>
        </w:rPr>
        <w:t xml:space="preserve"> nolikums</w:t>
      </w:r>
    </w:p>
    <w:p w:rsidR="00694F81" w:rsidRPr="00550FB5" w:rsidRDefault="00694F81" w:rsidP="001C1FCC">
      <w:pPr>
        <w:spacing w:after="0" w:line="240" w:lineRule="auto"/>
        <w:jc w:val="center"/>
        <w:rPr>
          <w:rFonts w:ascii="Times New Roman" w:hAnsi="Times New Roman" w:cs="Times New Roman"/>
          <w:b/>
          <w:bCs/>
          <w:sz w:val="28"/>
          <w:szCs w:val="28"/>
        </w:rPr>
      </w:pPr>
    </w:p>
    <w:p w:rsidR="00694F81" w:rsidRPr="00550FB5" w:rsidRDefault="00694F81" w:rsidP="001C1FCC">
      <w:pPr>
        <w:pStyle w:val="NormalWeb"/>
        <w:spacing w:before="0" w:beforeAutospacing="0" w:after="0" w:afterAutospacing="0"/>
      </w:pPr>
      <w:r w:rsidRPr="00550FB5">
        <w:rPr>
          <w:rStyle w:val="Strong"/>
          <w:rFonts w:ascii="Times New Roman" w:hAnsi="Times New Roman"/>
          <w:u w:val="single"/>
        </w:rPr>
        <w:t>Organizatori un vadība</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1. Sacensības „Street Handb</w:t>
      </w:r>
      <w:r>
        <w:t>all</w:t>
      </w:r>
      <w:r w:rsidRPr="00550FB5">
        <w:rPr>
          <w:rFonts w:ascii="Times New Roman" w:hAnsi="Times New Roman"/>
        </w:rPr>
        <w:t>” rīko biedrība „Streetbasket” sadarbībā ar Latvijas Handbola federāciju. </w:t>
      </w:r>
    </w:p>
    <w:p w:rsidR="00694F81" w:rsidRPr="00550FB5" w:rsidRDefault="00694F81" w:rsidP="001C1FCC">
      <w:pPr>
        <w:pStyle w:val="NormalWeb"/>
        <w:spacing w:before="0" w:beforeAutospacing="0" w:after="0" w:afterAutospacing="0"/>
      </w:pPr>
    </w:p>
    <w:p w:rsidR="00694F81" w:rsidRPr="00550FB5" w:rsidRDefault="00694F81" w:rsidP="001C1FCC">
      <w:pPr>
        <w:pStyle w:val="NormalWeb"/>
        <w:spacing w:before="0" w:beforeAutospacing="0" w:after="0" w:afterAutospacing="0"/>
      </w:pPr>
      <w:r w:rsidRPr="00550FB5">
        <w:rPr>
          <w:rStyle w:val="Strong"/>
          <w:rFonts w:ascii="Times New Roman" w:hAnsi="Times New Roman"/>
          <w:u w:val="single"/>
        </w:rPr>
        <w:t>Mērķi</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2. Radīt iespēju sportiski aizvadīt brīvo laiku no 2014.gada maija līdz septembrim.</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3. Ievērojot godīgas cīņas un savstarpējas cieņas principus, noteikt uzvarētāju katrā spēlē, katrā turnīrā un sacensībās kopumā.</w:t>
      </w:r>
    </w:p>
    <w:p w:rsidR="00694F81" w:rsidRPr="00550FB5" w:rsidRDefault="00694F81" w:rsidP="001C1FCC">
      <w:pPr>
        <w:pStyle w:val="NormalWeb"/>
        <w:spacing w:before="0" w:beforeAutospacing="0" w:after="0" w:afterAutospacing="0"/>
        <w:rPr>
          <w:rFonts w:ascii="Times New Roman" w:hAnsi="Times New Roman"/>
        </w:rPr>
      </w:pPr>
      <w:r w:rsidRPr="00550FB5">
        <w:t xml:space="preserve">4. Ar </w:t>
      </w:r>
      <w:r>
        <w:t>„</w:t>
      </w:r>
      <w:r w:rsidRPr="00550FB5">
        <w:t xml:space="preserve">Street </w:t>
      </w:r>
      <w:r>
        <w:t>H</w:t>
      </w:r>
      <w:r w:rsidRPr="00550FB5">
        <w:t>andb</w:t>
      </w:r>
      <w:r>
        <w:t>all”</w:t>
      </w:r>
      <w:r w:rsidRPr="00550FB5">
        <w:rPr>
          <w:rFonts w:ascii="Times New Roman" w:hAnsi="Times New Roman"/>
        </w:rPr>
        <w:t xml:space="preserve"> turnīru un citu atraktīvu pasākumu palīdzību veicināt no alkohola, tabakas un narkotikām brīvu izklaidi.</w:t>
      </w:r>
    </w:p>
    <w:p w:rsidR="00694F81" w:rsidRPr="00550FB5" w:rsidRDefault="00694F81" w:rsidP="001C1FCC">
      <w:pPr>
        <w:pStyle w:val="NormalWeb"/>
        <w:spacing w:before="0" w:beforeAutospacing="0" w:after="0" w:afterAutospacing="0"/>
        <w:rPr>
          <w:rStyle w:val="Strong"/>
          <w:u w:val="single"/>
        </w:rPr>
      </w:pPr>
    </w:p>
    <w:p w:rsidR="00694F81" w:rsidRPr="00550FB5" w:rsidRDefault="00694F81" w:rsidP="001C1FCC">
      <w:pPr>
        <w:pStyle w:val="NormalWeb"/>
        <w:spacing w:before="0" w:beforeAutospacing="0" w:after="0" w:afterAutospacing="0"/>
      </w:pPr>
      <w:r w:rsidRPr="00550FB5">
        <w:rPr>
          <w:rStyle w:val="Strong"/>
          <w:rFonts w:ascii="Times New Roman" w:hAnsi="Times New Roman"/>
          <w:u w:val="single"/>
        </w:rPr>
        <w:t>Dalībnieki</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5. Jebkurš Latvijas vai citas valsts pilsonis, kurš ir gatavs pieņemt „</w:t>
      </w:r>
      <w:r>
        <w:t>Street Handball</w:t>
      </w:r>
      <w:r w:rsidRPr="00550FB5">
        <w:rPr>
          <w:rFonts w:ascii="Times New Roman" w:hAnsi="Times New Roman"/>
        </w:rPr>
        <w:t>” spēles principus, būt par adekvātu cilvēku un pasākuma dalībnieku.</w:t>
      </w:r>
    </w:p>
    <w:p w:rsidR="00694F81" w:rsidRPr="00550FB5" w:rsidRDefault="00694F81" w:rsidP="001C1FCC">
      <w:pPr>
        <w:pStyle w:val="NormalWeb"/>
        <w:spacing w:before="0" w:beforeAutospacing="0" w:after="0" w:afterAutospacing="0"/>
        <w:rPr>
          <w:rStyle w:val="Strong"/>
          <w:u w:val="single"/>
        </w:rPr>
      </w:pPr>
    </w:p>
    <w:p w:rsidR="00694F81" w:rsidRPr="00550FB5" w:rsidRDefault="00694F81" w:rsidP="001C1FCC">
      <w:pPr>
        <w:pStyle w:val="NormalWeb"/>
        <w:spacing w:before="0" w:beforeAutospacing="0" w:after="0" w:afterAutospacing="0"/>
      </w:pPr>
      <w:r w:rsidRPr="00550FB5">
        <w:rPr>
          <w:rStyle w:val="Strong"/>
          <w:rFonts w:ascii="Times New Roman" w:hAnsi="Times New Roman"/>
          <w:u w:val="single"/>
        </w:rPr>
        <w:t>Spēļu laukums</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6. Spēles notiek</w:t>
      </w:r>
      <w:r>
        <w:t xml:space="preserve"> </w:t>
      </w:r>
      <w:r w:rsidRPr="00550FB5">
        <w:t>10 x 10 me</w:t>
      </w:r>
      <w:r w:rsidRPr="00550FB5">
        <w:rPr>
          <w:rFonts w:ascii="Times New Roman" w:hAnsi="Times New Roman"/>
        </w:rPr>
        <w:t>tru laukumā.</w:t>
      </w:r>
    </w:p>
    <w:p w:rsidR="00694F81" w:rsidRPr="00550FB5" w:rsidRDefault="00694F81" w:rsidP="001C1FCC">
      <w:pPr>
        <w:pStyle w:val="NormalWeb"/>
        <w:spacing w:before="0" w:beforeAutospacing="0" w:after="0" w:afterAutospacing="0"/>
      </w:pPr>
      <w:r w:rsidRPr="00550FB5">
        <w:t xml:space="preserve"> </w:t>
      </w:r>
    </w:p>
    <w:p w:rsidR="00694F81" w:rsidRPr="00550FB5" w:rsidRDefault="00694F81" w:rsidP="001C1FCC">
      <w:pPr>
        <w:pStyle w:val="NormalWeb"/>
        <w:spacing w:before="0" w:beforeAutospacing="0" w:after="0" w:afterAutospacing="0"/>
      </w:pPr>
      <w:r w:rsidRPr="00AC6513">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ttp://handball.lv/lv/file/147/11385/" style="width:346.5pt;height:162pt;visibility:visible">
            <v:imagedata r:id="rId5" o:title=""/>
          </v:shape>
        </w:pict>
      </w:r>
    </w:p>
    <w:p w:rsidR="00694F81" w:rsidRPr="00550FB5" w:rsidRDefault="00694F81" w:rsidP="001C1FCC">
      <w:pPr>
        <w:pStyle w:val="NormalWeb"/>
        <w:spacing w:before="0" w:beforeAutospacing="0" w:after="0" w:afterAutospacing="0"/>
      </w:pPr>
    </w:p>
    <w:p w:rsidR="00694F81" w:rsidRPr="00550FB5" w:rsidRDefault="00694F81" w:rsidP="001C1FCC">
      <w:pPr>
        <w:pStyle w:val="NormalWeb"/>
        <w:spacing w:before="0" w:beforeAutospacing="0" w:after="0" w:afterAutospacing="0"/>
        <w:rPr>
          <w:rFonts w:ascii="Times New Roman" w:hAnsi="Times New Roman"/>
        </w:rPr>
      </w:pPr>
      <w:r w:rsidRPr="00550FB5">
        <w:rPr>
          <w:rStyle w:val="Strong"/>
          <w:rFonts w:ascii="Times New Roman" w:hAnsi="Times New Roman"/>
        </w:rPr>
        <w:t xml:space="preserve">Vārti: </w:t>
      </w:r>
      <w:r w:rsidRPr="00550FB5">
        <w:t>2.40m x 1.60m</w:t>
      </w:r>
      <w:r w:rsidRPr="00550FB5">
        <w:br/>
      </w:r>
      <w:r w:rsidRPr="00550FB5">
        <w:rPr>
          <w:rStyle w:val="Strong"/>
          <w:rFonts w:ascii="Times New Roman" w:hAnsi="Times New Roman"/>
        </w:rPr>
        <w:t xml:space="preserve">Vārtu laukums: </w:t>
      </w:r>
      <w:r>
        <w:rPr>
          <w:rFonts w:ascii="Times New Roman" w:hAnsi="Times New Roman"/>
        </w:rPr>
        <w:t>ceturdaļaplis vai taisna līnija, 4 metri no vārtu līnijas</w:t>
      </w:r>
      <w:r w:rsidRPr="00550FB5">
        <w:br/>
      </w:r>
      <w:r w:rsidRPr="00550FB5">
        <w:rPr>
          <w:rStyle w:val="Strong"/>
          <w:rFonts w:ascii="Times New Roman" w:hAnsi="Times New Roman"/>
        </w:rPr>
        <w:t xml:space="preserve">Starta līnija: </w:t>
      </w:r>
      <w:r w:rsidRPr="00550FB5">
        <w:rPr>
          <w:rFonts w:ascii="Times New Roman" w:hAnsi="Times New Roman"/>
        </w:rPr>
        <w:t>8m līdz 10m no vārtiem.</w:t>
      </w:r>
      <w:r w:rsidRPr="00550FB5">
        <w:rPr>
          <w:rFonts w:ascii="Times New Roman" w:hAnsi="Times New Roman"/>
        </w:rPr>
        <w:br/>
      </w:r>
      <w:r w:rsidRPr="00550FB5">
        <w:rPr>
          <w:rStyle w:val="Strong"/>
        </w:rPr>
        <w:t>Komandas:</w:t>
      </w:r>
      <w:r w:rsidRPr="00550FB5">
        <w:t xml:space="preserve"> 4 pret 4.</w:t>
      </w:r>
      <w:r w:rsidRPr="00550FB5">
        <w:br/>
      </w:r>
      <w:r w:rsidRPr="00550FB5">
        <w:rPr>
          <w:rStyle w:val="Strong"/>
        </w:rPr>
        <w:t xml:space="preserve">Bumba: </w:t>
      </w:r>
      <w:r w:rsidRPr="00550FB5">
        <w:t>4</w:t>
      </w:r>
      <w:r w:rsidRPr="00550FB5">
        <w:rPr>
          <w:rFonts w:ascii="Times New Roman" w:hAnsi="Times New Roman"/>
        </w:rPr>
        <w:t>4cm apkārtmērs, bet neatlecoša bumba. Sievietēm un vīriešiem – vienāda.</w:t>
      </w:r>
    </w:p>
    <w:p w:rsidR="00694F81" w:rsidRPr="00550FB5" w:rsidRDefault="00694F81" w:rsidP="001C1FCC">
      <w:pPr>
        <w:pStyle w:val="NormalWeb"/>
        <w:spacing w:before="0" w:beforeAutospacing="0" w:after="0" w:afterAutospacing="0"/>
      </w:pPr>
    </w:p>
    <w:p w:rsidR="00694F81" w:rsidRPr="00550FB5" w:rsidRDefault="00694F81" w:rsidP="001C1FCC">
      <w:pPr>
        <w:pStyle w:val="NormalWeb"/>
        <w:spacing w:before="0" w:beforeAutospacing="0" w:after="0" w:afterAutospacing="0"/>
        <w:rPr>
          <w:u w:val="single"/>
        </w:rPr>
      </w:pPr>
      <w:r w:rsidRPr="00550FB5">
        <w:rPr>
          <w:rStyle w:val="Strong"/>
          <w:rFonts w:ascii="Times New Roman" w:hAnsi="Times New Roman"/>
          <w:u w:val="single"/>
        </w:rPr>
        <w:t>Spēļu laiks</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7. Pamatturnīrā spēles notiek 1</w:t>
      </w:r>
      <w:r>
        <w:t xml:space="preserve">2 </w:t>
      </w:r>
      <w:r w:rsidRPr="00550FB5">
        <w:rPr>
          <w:rFonts w:ascii="Times New Roman" w:hAnsi="Times New Roman"/>
        </w:rPr>
        <w:t>minūtes bez laika apstādināšanas. Finālspēles var tikt izmantots cits spēles formāts. Organizatori patur tiesības pirms attiecīgā turnīra sākuma ieviest izmaiņas spēles ilguma ziņā.</w:t>
      </w:r>
    </w:p>
    <w:p w:rsidR="00694F81" w:rsidRPr="00550FB5" w:rsidRDefault="00694F81" w:rsidP="001C1FCC">
      <w:pPr>
        <w:pStyle w:val="NormalWeb"/>
        <w:spacing w:before="0" w:beforeAutospacing="0" w:after="0" w:afterAutospacing="0"/>
      </w:pPr>
    </w:p>
    <w:p w:rsidR="00694F81" w:rsidRPr="00550FB5" w:rsidRDefault="00694F81" w:rsidP="001C1FCC">
      <w:pPr>
        <w:pStyle w:val="NormalWeb"/>
        <w:spacing w:before="0" w:beforeAutospacing="0" w:after="0" w:afterAutospacing="0"/>
      </w:pPr>
      <w:r w:rsidRPr="00550FB5">
        <w:rPr>
          <w:rStyle w:val="Strong"/>
          <w:rFonts w:ascii="Times New Roman" w:hAnsi="Times New Roman"/>
          <w:u w:val="single"/>
        </w:rPr>
        <w:t>Spēles pamatnoteikumi</w:t>
      </w:r>
    </w:p>
    <w:p w:rsidR="00694F81" w:rsidRDefault="00694F81" w:rsidP="001C1FCC">
      <w:pPr>
        <w:pStyle w:val="NormalWeb"/>
        <w:spacing w:before="0" w:beforeAutospacing="0" w:after="0" w:afterAutospacing="0"/>
      </w:pPr>
      <w:r w:rsidRPr="00550FB5">
        <w:rPr>
          <w:rFonts w:ascii="Times New Roman" w:hAnsi="Times New Roman"/>
        </w:rPr>
        <w:t xml:space="preserve">8. Spēles notiek pēc šādiem „Street </w:t>
      </w:r>
      <w:r>
        <w:t>H</w:t>
      </w:r>
      <w:r w:rsidRPr="00550FB5">
        <w:t>and</w:t>
      </w:r>
      <w:r>
        <w:t>ball</w:t>
      </w:r>
      <w:r w:rsidRPr="00550FB5">
        <w:t>” noteikumiem:</w:t>
      </w:r>
    </w:p>
    <w:p w:rsidR="00694F81" w:rsidRPr="00550FB5" w:rsidRDefault="00694F81" w:rsidP="001C1FCC">
      <w:pPr>
        <w:pStyle w:val="NormalWeb"/>
        <w:spacing w:before="0" w:beforeAutospacing="0" w:after="0" w:afterAutospacing="0"/>
      </w:pPr>
      <w:r>
        <w:rPr>
          <w:rFonts w:ascii="Times New Roman" w:hAnsi="Times New Roman"/>
        </w:rPr>
        <w:t>Pirms spēles sākuma tiek veikta izloze, kura komanda iegūs pirmā uzbrukuma tiesības.</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Uzbrucējam ir atļauti  3 soļi ar bumbu rokās 3 sekunžu laikā.</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Katrai komandai ir viens uzbrukums, neatkarīgi no tā vai vārti tiek gūti vai nē (tehniskā kļūda uzbrukumā), pēc kura komandas mainās lomām un jāatsāk spēle aiz starta līnijas (vismaz vienam spēlētājam ar bumbu no uzbrūkošās komandas jāšķērso pilnībā starta līnija).</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Vārtsarga atvairītā, vai no vārtiem atlēkusi bumba, vai auts nav kļūda un ir tiesības uzbrūkošai komandai turpināt uzbrukumu. Ja bumba šķērso laukuma gala līniju aiz vārtiem, tad bumba pāriet aizsargiem un tā jāievada no starta līnijas.</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Spēle notie</w:t>
      </w:r>
      <w:r>
        <w:t>k bez fiziska kontakta. „Street Handball”</w:t>
      </w:r>
      <w:r w:rsidRPr="00550FB5">
        <w:rPr>
          <w:rFonts w:ascii="Times New Roman" w:hAnsi="Times New Roman"/>
        </w:rPr>
        <w:t xml:space="preserve"> nav brīvmetiena vai soda metiena. Aizsargiem ir atļauta aktīva spēle aizsardzībā uz bumbu vai pasīvi aizsargāt savu vārtu laukumu un vārtus, izmantojot savu ķermeni.</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Spēles laikā katru komandu laukumā pārstāv četri spēlētāji, atsevišķos gadījumos pieļaujama arī trīs spēlētāju dalība mačā. Mazākumā palikušā komanda, neraugoties uz iemesliem, nav tiesīga pieprasīt sāncenšu ceturtā spēlētāja nepiedalīšanos cīņā. Sāncenšu spēlētāja savainojuma situācijā cīņas turpinājums trīs pret trīs tiek uzskatīts par labas gribas apliecinājumu.</w:t>
      </w:r>
    </w:p>
    <w:p w:rsidR="00694F81" w:rsidRPr="00550FB5" w:rsidRDefault="00694F81" w:rsidP="001C1FCC">
      <w:pPr>
        <w:pStyle w:val="NormalWeb"/>
        <w:spacing w:before="0" w:beforeAutospacing="0" w:after="0" w:afterAutospacing="0"/>
      </w:pP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9. Spēlētāji nedrīkst:</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 spert pa kājām, sist ar rokām, grūst pretinieku ar rokām un grūst no mugurpuses;</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 spēlēt rupji un bīstami;</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 aizlikt priekšā vai mēģināt aizlikt priekšā kāju;</w:t>
      </w:r>
    </w:p>
    <w:p w:rsidR="00694F81" w:rsidRPr="00550FB5" w:rsidRDefault="00694F81" w:rsidP="001C1FCC">
      <w:pPr>
        <w:pStyle w:val="NormalWeb"/>
        <w:spacing w:before="0" w:beforeAutospacing="0" w:after="0" w:afterAutospacing="0"/>
      </w:pPr>
      <w:r w:rsidRPr="00550FB5">
        <w:t>- lekt uz pretinieku;</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 saķert vai turēt ar rokām.</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Par šiem pārkāpumiem tiek piešķirti 2 punkti pretinieku komandai.</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Ja gadījumā uzbrukuma laikā vārtu laukumā atrodas divi vai vairāki spēlētāji no aizsargājošās komandas, tad automātiski tiek piešķirti divi punkti uzbrūkošai komandai.</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 xml:space="preserve">10. Spēlētāji spēles laikā nedrīkst nēsāt gredzenus, pulksteņus, ķēdītes un citus priekšmetus, kuri var savainot citus spēlētājus vai pašu sportistu. </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 xml:space="preserve">11. Bumba drīkst tikt spēlēta ar jebkuru ķermeņa daļu izņemot kāju (zemāk par ceļgalu) - vārtsargs drīkst spēlēt ar jebkuru ķermeņa daļu. </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12. Jebkuram no aizsargiem ir atļauts spēlēt kā vārtsargam.</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13. Ja aizsargs spēlē ievēr</w:t>
      </w:r>
      <w:r>
        <w:t>o</w:t>
      </w:r>
      <w:r w:rsidRPr="00550FB5">
        <w:rPr>
          <w:rFonts w:ascii="Times New Roman" w:hAnsi="Times New Roman"/>
        </w:rPr>
        <w:t>jot noteikumus, bet uzbrucējs uzskrien vai uzlec virsū pretiniekam, tiek fiksēta uzbrucēja kļūda un bumbas kontrole pāriet pretinieku komandai.</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14. Par katru vārtu guvumu tiek 1 punkts, par atraktīvu vārtu guvumu tiek 2 punkti.</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15. Par atraktīviem vārtiem tiek uzskatīti: vārti gūti pēc apgrieziena gaisā par 360 grādiem, vārti gūti, kad metiena brīdi spēlētājs atrodas ar muguru pret vārtiem, vārti gūti pēc metiena, kurš tiek izp</w:t>
      </w:r>
      <w:r>
        <w:rPr>
          <w:rFonts w:ascii="Times New Roman" w:hAnsi="Times New Roman"/>
        </w:rPr>
        <w:t>ildīts noķerot bumbu gaisā un lē</w:t>
      </w:r>
      <w:r w:rsidRPr="00550FB5">
        <w:rPr>
          <w:rFonts w:ascii="Times New Roman" w:hAnsi="Times New Roman"/>
        </w:rPr>
        <w:t>ciena brīdī.</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16. Spēles tiesneši nosaka cik punktus par katru vārtu guvumu komanda iegūst. Par jebkuru aizsarga pārkāpumu uzbr</w:t>
      </w:r>
      <w:r>
        <w:rPr>
          <w:rFonts w:ascii="Times New Roman" w:hAnsi="Times New Roman"/>
        </w:rPr>
        <w:t>ū</w:t>
      </w:r>
      <w:r w:rsidRPr="00550FB5">
        <w:t>košai komanda</w:t>
      </w:r>
      <w:r w:rsidRPr="00550FB5">
        <w:rPr>
          <w:rFonts w:ascii="Times New Roman" w:hAnsi="Times New Roman"/>
        </w:rPr>
        <w:t>i piešķir 2 punktus. Spēli tiesā citas komandas pārstāvis.</w:t>
      </w:r>
    </w:p>
    <w:p w:rsidR="00694F81" w:rsidRPr="00550FB5" w:rsidRDefault="00694F81" w:rsidP="001C1FCC">
      <w:pPr>
        <w:pStyle w:val="NormalWeb"/>
        <w:spacing w:before="0" w:beforeAutospacing="0" w:after="0" w:afterAutospacing="0"/>
        <w:rPr>
          <w:rStyle w:val="Strong"/>
          <w:u w:val="single"/>
        </w:rPr>
      </w:pPr>
    </w:p>
    <w:p w:rsidR="00694F81" w:rsidRPr="00550FB5" w:rsidRDefault="00694F81" w:rsidP="001C1FCC">
      <w:pPr>
        <w:pStyle w:val="NormalWeb"/>
        <w:spacing w:before="0" w:beforeAutospacing="0" w:after="0" w:afterAutospacing="0"/>
      </w:pPr>
      <w:r w:rsidRPr="00550FB5">
        <w:rPr>
          <w:rStyle w:val="Strong"/>
          <w:rFonts w:ascii="Times New Roman" w:hAnsi="Times New Roman"/>
          <w:u w:val="single"/>
        </w:rPr>
        <w:t>Izspēles sistēma</w:t>
      </w:r>
    </w:p>
    <w:p w:rsidR="00694F81" w:rsidRPr="00550FB5" w:rsidRDefault="00694F81" w:rsidP="001C1FCC">
      <w:pPr>
        <w:pStyle w:val="NormalWeb"/>
        <w:spacing w:before="0" w:beforeAutospacing="0" w:after="0" w:afterAutospacing="0"/>
      </w:pPr>
      <w:r w:rsidRPr="00550FB5">
        <w:rPr>
          <w:rFonts w:ascii="Times New Roman" w:hAnsi="Times New Roman"/>
        </w:rPr>
        <w:t>17. Komandas tiek ielozētas apakšgrupās, kuru ietvaros notiek apļa turnīrs. Ņemot vērā komandu skaitu turnīrā, tiek noteikta izslēgšanas turnīra sistēma.</w:t>
      </w:r>
      <w:r>
        <w:t xml:space="preserve"> Katrai komandai tiek gara</w:t>
      </w:r>
      <w:r>
        <w:rPr>
          <w:rFonts w:ascii="Times New Roman" w:hAnsi="Times New Roman"/>
        </w:rPr>
        <w:t>ntētas vismaz četras spēles.</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 xml:space="preserve">18. Apakšgrupu turnīrā par uzvaru tiek piešķirti </w:t>
      </w:r>
      <w:r>
        <w:rPr>
          <w:rFonts w:ascii="Times New Roman" w:hAnsi="Times New Roman"/>
        </w:rPr>
        <w:t>trīs</w:t>
      </w:r>
      <w:r w:rsidRPr="00550FB5">
        <w:rPr>
          <w:rFonts w:ascii="Times New Roman" w:hAnsi="Times New Roman"/>
        </w:rPr>
        <w:t xml:space="preserve"> punkti, par neizšķirtu – </w:t>
      </w:r>
      <w:r>
        <w:t>divi</w:t>
      </w:r>
      <w:r w:rsidRPr="00550FB5">
        <w:t xml:space="preserve"> punkt</w:t>
      </w:r>
      <w:r>
        <w:t>i</w:t>
      </w:r>
      <w:r w:rsidRPr="00550FB5">
        <w:rPr>
          <w:rFonts w:ascii="Times New Roman" w:hAnsi="Times New Roman"/>
        </w:rPr>
        <w:t xml:space="preserve">, par zaudējumu – </w:t>
      </w:r>
      <w:r>
        <w:t>viens</w:t>
      </w:r>
      <w:r w:rsidRPr="00550FB5">
        <w:t xml:space="preserve"> punkt</w:t>
      </w:r>
      <w:r>
        <w:t>s</w:t>
      </w:r>
      <w:r w:rsidRPr="00550FB5">
        <w:rPr>
          <w:rFonts w:ascii="Times New Roman" w:hAnsi="Times New Roman"/>
        </w:rPr>
        <w:t>, par neierašanos uz spēli – nulle punktu un tehniskais zaudējums (0:5).</w:t>
      </w:r>
    </w:p>
    <w:p w:rsidR="00694F81" w:rsidRPr="00550FB5" w:rsidRDefault="00694F81" w:rsidP="006C2F71">
      <w:pPr>
        <w:pStyle w:val="NormalWeb"/>
        <w:spacing w:before="0" w:beforeAutospacing="0" w:after="0" w:afterAutospacing="0"/>
        <w:rPr>
          <w:rFonts w:ascii="Times New Roman" w:hAnsi="Times New Roman"/>
        </w:rPr>
      </w:pPr>
      <w:r w:rsidRPr="00550FB5">
        <w:rPr>
          <w:rFonts w:ascii="Times New Roman" w:hAnsi="Times New Roman"/>
        </w:rPr>
        <w:t>19. Ja apakšgrupā divām vai vairāk komandām ir vienāds punktu skaits, tad vietu sadalījums tiek noteikts pēc vairākiem rādītājiem:</w:t>
      </w:r>
      <w:r w:rsidRPr="00550FB5">
        <w:rPr>
          <w:rFonts w:ascii="Times New Roman" w:hAnsi="Times New Roman"/>
        </w:rPr>
        <w:br/>
        <w:t>1) pēc savstarpējo spēļu rezultātiem;</w:t>
      </w:r>
      <w:r w:rsidRPr="00550FB5">
        <w:rPr>
          <w:rFonts w:ascii="Times New Roman" w:hAnsi="Times New Roman"/>
        </w:rPr>
        <w:br/>
        <w:t>2) pēc labākās punktu starpības savstarpējās spēlēs;</w:t>
      </w:r>
      <w:r w:rsidRPr="00550FB5">
        <w:rPr>
          <w:rFonts w:ascii="Times New Roman" w:hAnsi="Times New Roman"/>
        </w:rPr>
        <w:br/>
        <w:t>3) pēc lielākā gūto punktu skaita savstarpējās spēlēs;</w:t>
      </w:r>
      <w:r w:rsidRPr="00550FB5">
        <w:rPr>
          <w:rFonts w:ascii="Times New Roman" w:hAnsi="Times New Roman"/>
        </w:rPr>
        <w:br/>
        <w:t>4) pēc labākās punktu starpības visās spēlēs;</w:t>
      </w:r>
    </w:p>
    <w:p w:rsidR="00694F81" w:rsidRPr="00550FB5" w:rsidRDefault="00694F81" w:rsidP="006C2F71">
      <w:pPr>
        <w:pStyle w:val="NormalWeb"/>
        <w:spacing w:before="0" w:beforeAutospacing="0" w:after="0" w:afterAutospacing="0"/>
        <w:rPr>
          <w:rFonts w:ascii="Times New Roman" w:hAnsi="Times New Roman"/>
        </w:rPr>
      </w:pPr>
      <w:r w:rsidRPr="00550FB5">
        <w:rPr>
          <w:rFonts w:ascii="Times New Roman" w:hAnsi="Times New Roman"/>
        </w:rPr>
        <w:t xml:space="preserve">5) pēc lielākā gūto punktu skaita visās spēlēs. </w:t>
      </w:r>
      <w:r w:rsidRPr="00550FB5">
        <w:rPr>
          <w:rFonts w:ascii="Times New Roman" w:hAnsi="Times New Roman"/>
        </w:rPr>
        <w:br/>
        <w:t>Ja visi šie rādītāji ir identiski, tad uzvarētājs tiek noteikts ar izlozes palīdzību.</w:t>
      </w:r>
    </w:p>
    <w:p w:rsidR="00694F81" w:rsidRPr="00550FB5" w:rsidRDefault="00694F81" w:rsidP="001C1FCC">
      <w:pPr>
        <w:pStyle w:val="NormalWeb"/>
        <w:spacing w:before="0" w:beforeAutospacing="0" w:after="0" w:afterAutospacing="0"/>
        <w:rPr>
          <w:rStyle w:val="Strong"/>
          <w:u w:val="single"/>
        </w:rPr>
      </w:pPr>
    </w:p>
    <w:p w:rsidR="00694F81" w:rsidRPr="00550FB5" w:rsidRDefault="00694F81" w:rsidP="001C1FCC">
      <w:pPr>
        <w:pStyle w:val="NormalWeb"/>
        <w:spacing w:before="0" w:beforeAutospacing="0" w:after="0" w:afterAutospacing="0"/>
      </w:pPr>
      <w:r w:rsidRPr="00550FB5">
        <w:rPr>
          <w:rStyle w:val="Strong"/>
          <w:rFonts w:ascii="Times New Roman" w:hAnsi="Times New Roman"/>
          <w:u w:val="single"/>
        </w:rPr>
        <w:t>Spēlētāju grupas</w:t>
      </w:r>
    </w:p>
    <w:p w:rsidR="00694F81" w:rsidRPr="00550FB5" w:rsidRDefault="00694F81" w:rsidP="001C1FCC">
      <w:pPr>
        <w:pStyle w:val="NormalWeb"/>
        <w:spacing w:before="0" w:beforeAutospacing="0" w:after="0" w:afterAutospacing="0"/>
      </w:pPr>
      <w:r w:rsidRPr="00550FB5">
        <w:rPr>
          <w:rFonts w:ascii="Times New Roman" w:hAnsi="Times New Roman"/>
        </w:rPr>
        <w:t>20. Spēlētāju sadalījums pa grupām tiek noteikts pēc</w:t>
      </w:r>
      <w:r>
        <w:t xml:space="preserve"> dzimuma un</w:t>
      </w:r>
      <w:r w:rsidRPr="00550FB5">
        <w:t xml:space="preserve"> dzimšanas gada.</w:t>
      </w:r>
    </w:p>
    <w:p w:rsidR="00694F81" w:rsidRPr="00550FB5" w:rsidRDefault="00694F81" w:rsidP="001C1FCC">
      <w:pPr>
        <w:pStyle w:val="NormalWeb"/>
        <w:spacing w:before="0" w:beforeAutospacing="0" w:after="0" w:afterAutospacing="0"/>
        <w:rPr>
          <w:rFonts w:ascii="Times New Roman" w:hAnsi="Times New Roman"/>
        </w:rPr>
      </w:pPr>
      <w:r w:rsidRPr="00550FB5">
        <w:rPr>
          <w:rStyle w:val="Strong"/>
          <w:rFonts w:ascii="Times New Roman" w:hAnsi="Times New Roman"/>
        </w:rPr>
        <w:t>Vecākā grupa</w:t>
      </w:r>
      <w:r w:rsidRPr="00550FB5">
        <w:rPr>
          <w:rFonts w:ascii="Times New Roman" w:hAnsi="Times New Roman"/>
        </w:rPr>
        <w:t xml:space="preserve"> - 1996. gadā dzimušie un vecāki spēlētāji</w:t>
      </w:r>
    </w:p>
    <w:p w:rsidR="00694F81" w:rsidRPr="00550FB5" w:rsidRDefault="00694F81" w:rsidP="001C1FCC">
      <w:pPr>
        <w:pStyle w:val="NormalWeb"/>
        <w:spacing w:before="0" w:beforeAutospacing="0" w:after="0" w:afterAutospacing="0"/>
        <w:rPr>
          <w:rFonts w:ascii="Times New Roman" w:hAnsi="Times New Roman"/>
        </w:rPr>
      </w:pPr>
      <w:r w:rsidRPr="00550FB5">
        <w:rPr>
          <w:rStyle w:val="Strong"/>
          <w:rFonts w:ascii="Times New Roman" w:hAnsi="Times New Roman"/>
        </w:rPr>
        <w:t>Jaunākā grupa</w:t>
      </w:r>
      <w:r w:rsidRPr="00550FB5">
        <w:rPr>
          <w:rFonts w:ascii="Times New Roman" w:hAnsi="Times New Roman"/>
        </w:rPr>
        <w:t xml:space="preserve"> - 1997. gadā dzimušie un jaunāki spēlētāji.</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21. Organizatori saziņā ar vietējiem pārstāvjiem ir tiesīgi mainīt spēlētāju sadalījumu pa vecuma grupām, papildināt grupu skaitu, piemēram, iekļaujot jaukto grupu.</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22. Ja spēlētājs nav gatavs pēc organizatoru pieprasījuma dokumentus savas identitātes pārbaudei, tad viņa pārstāvētā komanda tiek diskvalificēta no attiecīgā turnīra, un rezultāti tiek anulēti.</w:t>
      </w:r>
    </w:p>
    <w:p w:rsidR="00694F81" w:rsidRPr="00550FB5" w:rsidRDefault="00694F81" w:rsidP="001C1FCC">
      <w:pPr>
        <w:pStyle w:val="NormalWeb"/>
        <w:spacing w:before="0" w:beforeAutospacing="0" w:after="0" w:afterAutospacing="0"/>
        <w:rPr>
          <w:rFonts w:ascii="Times New Roman" w:hAnsi="Times New Roman"/>
        </w:rPr>
      </w:pPr>
      <w:r w:rsidRPr="00550FB5">
        <w:t>23. Katr</w:t>
      </w:r>
      <w:r>
        <w:t>a</w:t>
      </w:r>
      <w:r w:rsidRPr="00550FB5">
        <w:rPr>
          <w:rFonts w:ascii="Times New Roman" w:hAnsi="Times New Roman"/>
        </w:rPr>
        <w:t xml:space="preserve">m turnīram komanda var pieteikt ne vairāk kā sešus, bet ne mazāk kā četrus spēlētājus. </w:t>
      </w:r>
    </w:p>
    <w:p w:rsidR="00694F81" w:rsidRPr="00550FB5" w:rsidRDefault="00694F81" w:rsidP="001C1FCC">
      <w:pPr>
        <w:pStyle w:val="NormalWeb"/>
        <w:spacing w:before="0" w:beforeAutospacing="0" w:after="0" w:afterAutospacing="0"/>
        <w:rPr>
          <w:rStyle w:val="Strong"/>
          <w:u w:val="single"/>
        </w:rPr>
      </w:pPr>
    </w:p>
    <w:p w:rsidR="00694F81" w:rsidRPr="00550FB5" w:rsidRDefault="00694F81" w:rsidP="001C1FCC">
      <w:pPr>
        <w:pStyle w:val="NormalWeb"/>
        <w:spacing w:before="0" w:beforeAutospacing="0" w:after="0" w:afterAutospacing="0"/>
      </w:pPr>
      <w:r w:rsidRPr="00550FB5">
        <w:rPr>
          <w:rStyle w:val="Strong"/>
          <w:rFonts w:ascii="Times New Roman" w:hAnsi="Times New Roman"/>
          <w:u w:val="single"/>
        </w:rPr>
        <w:t>Dalības maksa</w:t>
      </w:r>
    </w:p>
    <w:p w:rsidR="00694F81" w:rsidRPr="00550FB5" w:rsidRDefault="00694F81" w:rsidP="001C1FCC">
      <w:pPr>
        <w:pStyle w:val="NormalWeb"/>
        <w:spacing w:before="0" w:beforeAutospacing="0" w:after="0" w:afterAutospacing="0"/>
      </w:pPr>
      <w:r w:rsidRPr="00550FB5">
        <w:rPr>
          <w:rFonts w:ascii="Times New Roman" w:hAnsi="Times New Roman"/>
        </w:rPr>
        <w:t>24. Dalības maksa par katru spēlētāju ir</w:t>
      </w:r>
      <w:r>
        <w:t xml:space="preserve"> 1,5 eiro (</w:t>
      </w:r>
      <w:r w:rsidRPr="00550FB5">
        <w:t>viens eiro un piecdesmit</w:t>
      </w:r>
      <w:r>
        <w:t xml:space="preserve"> centi). Samaksa notiek uz vietas. </w:t>
      </w:r>
    </w:p>
    <w:p w:rsidR="00694F81" w:rsidRDefault="00694F81" w:rsidP="001C1FCC">
      <w:pPr>
        <w:pStyle w:val="NormalWeb"/>
        <w:spacing w:before="0" w:beforeAutospacing="0" w:after="0" w:afterAutospacing="0"/>
      </w:pPr>
      <w:r w:rsidRPr="00550FB5">
        <w:rPr>
          <w:rFonts w:ascii="Times New Roman" w:hAnsi="Times New Roman"/>
        </w:rPr>
        <w:t>25. Ja dalībnieks var sacensību sekretariātam uzrādīt derīgu "Ghetto Games" licenci, tad atsevišķa</w:t>
      </w:r>
      <w:r>
        <w:rPr>
          <w:rFonts w:ascii="Times New Roman" w:hAnsi="Times New Roman"/>
        </w:rPr>
        <w:t xml:space="preserve"> dalības maksa „Street Handball”</w:t>
      </w:r>
      <w:r w:rsidRPr="00550FB5">
        <w:rPr>
          <w:rFonts w:ascii="Times New Roman" w:hAnsi="Times New Roman"/>
        </w:rPr>
        <w:t xml:space="preserve"> sacensībām nav jāmaksā.</w:t>
      </w:r>
    </w:p>
    <w:p w:rsidR="00694F81" w:rsidRPr="00550FB5" w:rsidRDefault="00694F81" w:rsidP="001C1FCC">
      <w:pPr>
        <w:pStyle w:val="NormalWeb"/>
        <w:spacing w:before="0" w:beforeAutospacing="0" w:after="0" w:afterAutospacing="0"/>
      </w:pPr>
      <w:r w:rsidRPr="00806A78">
        <w:t>33</w:t>
      </w:r>
      <w:r>
        <w:t>. K</w:t>
      </w:r>
      <w:r w:rsidRPr="00806A78">
        <w:t>omand</w:t>
      </w:r>
      <w:r>
        <w:t>u</w:t>
      </w:r>
      <w:r w:rsidRPr="00806A78">
        <w:rPr>
          <w:rFonts w:ascii="Times New Roman" w:hAnsi="Times New Roman"/>
        </w:rPr>
        <w:t xml:space="preserve"> reģistrēšana </w:t>
      </w:r>
      <w:r>
        <w:rPr>
          <w:rFonts w:ascii="Times New Roman" w:hAnsi="Times New Roman"/>
        </w:rPr>
        <w:t xml:space="preserve">var tikt veikta interneta vietnē </w:t>
      </w:r>
      <w:r w:rsidRPr="00806A78">
        <w:t>“www.ghettogames.lv”</w:t>
      </w:r>
      <w:r>
        <w:t xml:space="preserve"> vai „www.handball.lv”</w:t>
      </w:r>
      <w:r w:rsidRPr="00806A78">
        <w:rPr>
          <w:rFonts w:ascii="Times New Roman" w:hAnsi="Times New Roman"/>
        </w:rPr>
        <w:t xml:space="preserve"> līdz attiecīgā turnīra iepriekšējās dienas plkst. 23.59</w:t>
      </w:r>
      <w:r>
        <w:t xml:space="preserve"> vai t</w:t>
      </w:r>
      <w:r>
        <w:rPr>
          <w:rFonts w:ascii="Times New Roman" w:hAnsi="Times New Roman"/>
        </w:rPr>
        <w:t>ieši pirms turnīra sākuma, iesniedzot pieteikumu sekretariātam.</w:t>
      </w:r>
    </w:p>
    <w:p w:rsidR="00694F81" w:rsidRPr="00550FB5" w:rsidRDefault="00694F81" w:rsidP="001C1FCC">
      <w:pPr>
        <w:pStyle w:val="NormalWeb"/>
        <w:spacing w:before="0" w:beforeAutospacing="0" w:after="0" w:afterAutospacing="0"/>
        <w:rPr>
          <w:rStyle w:val="Strong"/>
          <w:u w:val="single"/>
        </w:rPr>
      </w:pPr>
    </w:p>
    <w:p w:rsidR="00694F81" w:rsidRPr="00550FB5" w:rsidRDefault="00694F81" w:rsidP="001C1FCC">
      <w:pPr>
        <w:pStyle w:val="NormalWeb"/>
        <w:spacing w:before="0" w:beforeAutospacing="0" w:after="0" w:afterAutospacing="0"/>
      </w:pPr>
      <w:r w:rsidRPr="00550FB5">
        <w:rPr>
          <w:rStyle w:val="Strong"/>
          <w:rFonts w:ascii="Times New Roman" w:hAnsi="Times New Roman"/>
          <w:u w:val="single"/>
        </w:rPr>
        <w:t>Pārkāpumu sodīšana</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25. Organizatori patur tiesības par pārkāpumiem, kuri ir pretrunā sacensību nolikumam vai arī traucē izmantot tiesības uz sportisku atpūtu citiem turnīra dalībniekiem, liegt pieeju sacensību norises vietām.</w:t>
      </w:r>
    </w:p>
    <w:p w:rsidR="00694F81" w:rsidRPr="00550FB5" w:rsidRDefault="00694F81" w:rsidP="001C1FCC">
      <w:pPr>
        <w:pStyle w:val="NormalWeb"/>
        <w:spacing w:before="0" w:beforeAutospacing="0" w:after="0" w:afterAutospacing="0"/>
        <w:rPr>
          <w:rStyle w:val="Strong"/>
          <w:u w:val="single"/>
        </w:rPr>
      </w:pPr>
    </w:p>
    <w:p w:rsidR="00694F81" w:rsidRPr="00550FB5" w:rsidRDefault="00694F81" w:rsidP="001C1FCC">
      <w:pPr>
        <w:pStyle w:val="NormalWeb"/>
        <w:spacing w:before="0" w:beforeAutospacing="0" w:after="0" w:afterAutospacing="0"/>
      </w:pPr>
      <w:r w:rsidRPr="00550FB5">
        <w:rPr>
          <w:rStyle w:val="Strong"/>
          <w:rFonts w:ascii="Times New Roman" w:hAnsi="Times New Roman"/>
          <w:u w:val="single"/>
        </w:rPr>
        <w:t>Informācija</w:t>
      </w:r>
    </w:p>
    <w:p w:rsidR="00694F81" w:rsidRPr="00550FB5" w:rsidRDefault="00694F81" w:rsidP="001C1FCC">
      <w:pPr>
        <w:pStyle w:val="NormalWeb"/>
        <w:spacing w:before="0" w:beforeAutospacing="0" w:after="0" w:afterAutospacing="0"/>
        <w:rPr>
          <w:rFonts w:ascii="Times New Roman" w:hAnsi="Times New Roman"/>
        </w:rPr>
      </w:pPr>
      <w:r w:rsidRPr="00550FB5">
        <w:rPr>
          <w:rFonts w:ascii="Times New Roman" w:hAnsi="Times New Roman"/>
        </w:rPr>
        <w:t>26. Oficiālā informācija atrodama “www.ghettogames.lv” un „www.handball.lv” .</w:t>
      </w:r>
    </w:p>
    <w:p w:rsidR="00694F81" w:rsidRPr="00550FB5" w:rsidRDefault="00694F81" w:rsidP="001C1FCC">
      <w:pPr>
        <w:spacing w:after="0" w:line="240" w:lineRule="auto"/>
        <w:rPr>
          <w:rFonts w:ascii="Times New Roman" w:hAnsi="Times New Roman" w:cs="Times New Roman"/>
          <w:b/>
          <w:bCs/>
          <w:sz w:val="28"/>
          <w:szCs w:val="28"/>
        </w:rPr>
      </w:pPr>
    </w:p>
    <w:p w:rsidR="00694F81" w:rsidRPr="00550FB5" w:rsidRDefault="00694F81" w:rsidP="001C1FCC">
      <w:pPr>
        <w:spacing w:after="0" w:line="240" w:lineRule="auto"/>
        <w:rPr>
          <w:rFonts w:ascii="Times New Roman" w:hAnsi="Times New Roman" w:cs="Times New Roman"/>
          <w:b/>
          <w:bCs/>
          <w:sz w:val="28"/>
          <w:szCs w:val="28"/>
        </w:rPr>
      </w:pPr>
    </w:p>
    <w:p w:rsidR="00694F81" w:rsidRPr="00550FB5" w:rsidRDefault="00694F81" w:rsidP="006B6A9D">
      <w:pPr>
        <w:spacing w:after="0" w:line="240" w:lineRule="auto"/>
        <w:jc w:val="center"/>
        <w:rPr>
          <w:rFonts w:ascii="Times New Roman" w:hAnsi="Times New Roman" w:cs="Times New Roman"/>
          <w:b/>
          <w:bCs/>
          <w:sz w:val="28"/>
          <w:szCs w:val="28"/>
        </w:rPr>
      </w:pPr>
      <w:r w:rsidRPr="00550FB5">
        <w:rPr>
          <w:rFonts w:ascii="Times New Roman" w:hAnsi="Times New Roman" w:cs="Times New Roman"/>
          <w:b/>
          <w:bCs/>
          <w:sz w:val="28"/>
          <w:szCs w:val="28"/>
        </w:rPr>
        <w:t>Pieteikums „</w:t>
      </w:r>
      <w:r>
        <w:rPr>
          <w:rFonts w:ascii="Times New Roman" w:hAnsi="Times New Roman" w:cs="Times New Roman"/>
          <w:b/>
          <w:bCs/>
          <w:sz w:val="28"/>
          <w:szCs w:val="28"/>
        </w:rPr>
        <w:t>Street Handball</w:t>
      </w:r>
      <w:r w:rsidRPr="00550FB5">
        <w:rPr>
          <w:rFonts w:ascii="Times New Roman" w:hAnsi="Times New Roman" w:cs="Times New Roman"/>
          <w:b/>
          <w:bCs/>
          <w:sz w:val="28"/>
          <w:szCs w:val="28"/>
        </w:rPr>
        <w:t>” turnīram</w:t>
      </w:r>
    </w:p>
    <w:p w:rsidR="00694F81" w:rsidRPr="00550FB5" w:rsidRDefault="00694F81" w:rsidP="006B6A9D">
      <w:pPr>
        <w:spacing w:after="0" w:line="240"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3"/>
        <w:gridCol w:w="5812"/>
      </w:tblGrid>
      <w:tr w:rsidR="00694F81" w:rsidRPr="00AC6513">
        <w:tc>
          <w:tcPr>
            <w:tcW w:w="1613" w:type="dxa"/>
            <w:tcBorders>
              <w:top w:val="nil"/>
              <w:left w:val="nil"/>
              <w:bottom w:val="nil"/>
              <w:right w:val="nil"/>
            </w:tcBorders>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Komanda</w:t>
            </w:r>
          </w:p>
        </w:tc>
        <w:tc>
          <w:tcPr>
            <w:tcW w:w="5812" w:type="dxa"/>
            <w:tcBorders>
              <w:top w:val="nil"/>
              <w:left w:val="nil"/>
              <w:right w:val="nil"/>
            </w:tcBorders>
          </w:tcPr>
          <w:p w:rsidR="00694F81" w:rsidRPr="00AC6513" w:rsidRDefault="00694F81" w:rsidP="00AC6513">
            <w:pPr>
              <w:spacing w:after="0" w:line="240" w:lineRule="auto"/>
              <w:jc w:val="center"/>
              <w:rPr>
                <w:rFonts w:ascii="Times New Roman" w:hAnsi="Times New Roman" w:cs="Times New Roman"/>
                <w:b/>
                <w:bCs/>
                <w:sz w:val="24"/>
                <w:szCs w:val="24"/>
              </w:rPr>
            </w:pPr>
          </w:p>
        </w:tc>
      </w:tr>
      <w:tr w:rsidR="00694F81" w:rsidRPr="00AC6513">
        <w:trPr>
          <w:trHeight w:val="57"/>
        </w:trPr>
        <w:tc>
          <w:tcPr>
            <w:tcW w:w="1613" w:type="dxa"/>
            <w:tcBorders>
              <w:top w:val="nil"/>
              <w:left w:val="nil"/>
              <w:bottom w:val="nil"/>
              <w:right w:val="nil"/>
            </w:tcBorders>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5812" w:type="dxa"/>
            <w:tcBorders>
              <w:left w:val="nil"/>
              <w:bottom w:val="nil"/>
              <w:right w:val="nil"/>
            </w:tcBorders>
          </w:tcPr>
          <w:p w:rsidR="00694F81" w:rsidRPr="00AC6513" w:rsidRDefault="00694F81" w:rsidP="00AC6513">
            <w:pPr>
              <w:spacing w:after="0" w:line="240" w:lineRule="auto"/>
              <w:jc w:val="center"/>
              <w:rPr>
                <w:rFonts w:ascii="Times New Roman" w:hAnsi="Times New Roman" w:cs="Times New Roman"/>
                <w:b/>
                <w:bCs/>
                <w:sz w:val="24"/>
                <w:szCs w:val="24"/>
              </w:rPr>
            </w:pPr>
          </w:p>
        </w:tc>
      </w:tr>
      <w:tr w:rsidR="00694F81" w:rsidRPr="00AC6513">
        <w:tc>
          <w:tcPr>
            <w:tcW w:w="1613" w:type="dxa"/>
            <w:tcBorders>
              <w:top w:val="nil"/>
              <w:left w:val="nil"/>
              <w:bottom w:val="nil"/>
              <w:right w:val="nil"/>
            </w:tcBorders>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Turnīrs</w:t>
            </w:r>
          </w:p>
        </w:tc>
        <w:tc>
          <w:tcPr>
            <w:tcW w:w="5812" w:type="dxa"/>
            <w:tcBorders>
              <w:top w:val="nil"/>
              <w:left w:val="nil"/>
              <w:right w:val="nil"/>
            </w:tcBorders>
          </w:tcPr>
          <w:p w:rsidR="00694F81" w:rsidRPr="00AC6513" w:rsidRDefault="00694F81" w:rsidP="00AC6513">
            <w:pPr>
              <w:spacing w:after="0" w:line="240" w:lineRule="auto"/>
              <w:jc w:val="center"/>
              <w:rPr>
                <w:rFonts w:ascii="Times New Roman" w:hAnsi="Times New Roman" w:cs="Times New Roman"/>
                <w:b/>
                <w:bCs/>
                <w:sz w:val="24"/>
                <w:szCs w:val="24"/>
              </w:rPr>
            </w:pPr>
          </w:p>
        </w:tc>
      </w:tr>
    </w:tbl>
    <w:p w:rsidR="00694F81" w:rsidRPr="00550FB5" w:rsidRDefault="00694F81" w:rsidP="006B6A9D">
      <w:pPr>
        <w:spacing w:after="0" w:line="240" w:lineRule="auto"/>
        <w:jc w:val="center"/>
        <w:rPr>
          <w:rFonts w:ascii="Times New Roman" w:hAnsi="Times New Roman" w:cs="Times New Roman"/>
          <w:b/>
          <w:bCs/>
          <w:sz w:val="28"/>
          <w:szCs w:val="28"/>
        </w:rPr>
      </w:pPr>
    </w:p>
    <w:p w:rsidR="00694F81" w:rsidRPr="00550FB5" w:rsidRDefault="00694F81" w:rsidP="006B6A9D">
      <w:pPr>
        <w:spacing w:after="0" w:line="240" w:lineRule="auto"/>
        <w:jc w:val="center"/>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3521"/>
        <w:gridCol w:w="1276"/>
        <w:gridCol w:w="3012"/>
        <w:gridCol w:w="1632"/>
      </w:tblGrid>
      <w:tr w:rsidR="00694F81" w:rsidRPr="00AC6513">
        <w:trPr>
          <w:jc w:val="center"/>
        </w:trPr>
        <w:tc>
          <w:tcPr>
            <w:tcW w:w="556"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Nr.</w:t>
            </w:r>
          </w:p>
        </w:tc>
        <w:tc>
          <w:tcPr>
            <w:tcW w:w="3521"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Vārds, Uzvārds</w:t>
            </w:r>
          </w:p>
        </w:tc>
        <w:tc>
          <w:tcPr>
            <w:tcW w:w="1276"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rPr>
              <w:t>Dzimšanas dati</w:t>
            </w:r>
          </w:p>
        </w:tc>
        <w:tc>
          <w:tcPr>
            <w:tcW w:w="3012"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E-pasts</w:t>
            </w:r>
          </w:p>
        </w:tc>
        <w:tc>
          <w:tcPr>
            <w:tcW w:w="1632"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Tālrunis</w:t>
            </w:r>
          </w:p>
        </w:tc>
      </w:tr>
      <w:tr w:rsidR="00694F81" w:rsidRPr="00AC6513">
        <w:trPr>
          <w:trHeight w:val="454"/>
          <w:jc w:val="center"/>
        </w:trPr>
        <w:tc>
          <w:tcPr>
            <w:tcW w:w="556"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1</w:t>
            </w:r>
          </w:p>
        </w:tc>
        <w:tc>
          <w:tcPr>
            <w:tcW w:w="3521"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276"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3012"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632" w:type="dxa"/>
          </w:tcPr>
          <w:p w:rsidR="00694F81" w:rsidRPr="00AC6513" w:rsidRDefault="00694F81" w:rsidP="00AC6513">
            <w:pPr>
              <w:spacing w:after="0" w:line="240" w:lineRule="auto"/>
              <w:jc w:val="center"/>
              <w:rPr>
                <w:rFonts w:ascii="Times New Roman" w:hAnsi="Times New Roman" w:cs="Times New Roman"/>
                <w:b/>
                <w:bCs/>
                <w:sz w:val="24"/>
                <w:szCs w:val="24"/>
              </w:rPr>
            </w:pPr>
          </w:p>
        </w:tc>
      </w:tr>
      <w:tr w:rsidR="00694F81" w:rsidRPr="00AC6513">
        <w:trPr>
          <w:trHeight w:val="454"/>
          <w:jc w:val="center"/>
        </w:trPr>
        <w:tc>
          <w:tcPr>
            <w:tcW w:w="556"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2</w:t>
            </w:r>
          </w:p>
        </w:tc>
        <w:tc>
          <w:tcPr>
            <w:tcW w:w="3521"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276"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3012"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632" w:type="dxa"/>
          </w:tcPr>
          <w:p w:rsidR="00694F81" w:rsidRPr="00AC6513" w:rsidRDefault="00694F81" w:rsidP="00AC6513">
            <w:pPr>
              <w:spacing w:after="0" w:line="240" w:lineRule="auto"/>
              <w:jc w:val="center"/>
              <w:rPr>
                <w:rFonts w:ascii="Times New Roman" w:hAnsi="Times New Roman" w:cs="Times New Roman"/>
                <w:b/>
                <w:bCs/>
                <w:sz w:val="24"/>
                <w:szCs w:val="24"/>
              </w:rPr>
            </w:pPr>
          </w:p>
        </w:tc>
      </w:tr>
      <w:tr w:rsidR="00694F81" w:rsidRPr="00AC6513">
        <w:trPr>
          <w:trHeight w:val="454"/>
          <w:jc w:val="center"/>
        </w:trPr>
        <w:tc>
          <w:tcPr>
            <w:tcW w:w="556"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3</w:t>
            </w:r>
          </w:p>
        </w:tc>
        <w:tc>
          <w:tcPr>
            <w:tcW w:w="3521"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276"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3012"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632" w:type="dxa"/>
          </w:tcPr>
          <w:p w:rsidR="00694F81" w:rsidRPr="00AC6513" w:rsidRDefault="00694F81" w:rsidP="00AC6513">
            <w:pPr>
              <w:spacing w:after="0" w:line="240" w:lineRule="auto"/>
              <w:jc w:val="center"/>
              <w:rPr>
                <w:rFonts w:ascii="Times New Roman" w:hAnsi="Times New Roman" w:cs="Times New Roman"/>
                <w:b/>
                <w:bCs/>
                <w:sz w:val="24"/>
                <w:szCs w:val="24"/>
              </w:rPr>
            </w:pPr>
          </w:p>
        </w:tc>
      </w:tr>
      <w:tr w:rsidR="00694F81" w:rsidRPr="00AC6513">
        <w:trPr>
          <w:trHeight w:val="454"/>
          <w:jc w:val="center"/>
        </w:trPr>
        <w:tc>
          <w:tcPr>
            <w:tcW w:w="556"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4</w:t>
            </w:r>
          </w:p>
        </w:tc>
        <w:tc>
          <w:tcPr>
            <w:tcW w:w="3521"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276"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3012"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632" w:type="dxa"/>
          </w:tcPr>
          <w:p w:rsidR="00694F81" w:rsidRPr="00AC6513" w:rsidRDefault="00694F81" w:rsidP="00AC6513">
            <w:pPr>
              <w:spacing w:after="0" w:line="240" w:lineRule="auto"/>
              <w:jc w:val="center"/>
              <w:rPr>
                <w:rFonts w:ascii="Times New Roman" w:hAnsi="Times New Roman" w:cs="Times New Roman"/>
                <w:b/>
                <w:bCs/>
                <w:sz w:val="24"/>
                <w:szCs w:val="24"/>
              </w:rPr>
            </w:pPr>
          </w:p>
        </w:tc>
      </w:tr>
      <w:tr w:rsidR="00694F81" w:rsidRPr="00AC6513">
        <w:trPr>
          <w:trHeight w:val="454"/>
          <w:jc w:val="center"/>
        </w:trPr>
        <w:tc>
          <w:tcPr>
            <w:tcW w:w="556"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5</w:t>
            </w:r>
          </w:p>
        </w:tc>
        <w:tc>
          <w:tcPr>
            <w:tcW w:w="3521"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276"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3012"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632" w:type="dxa"/>
          </w:tcPr>
          <w:p w:rsidR="00694F81" w:rsidRPr="00AC6513" w:rsidRDefault="00694F81" w:rsidP="00AC6513">
            <w:pPr>
              <w:spacing w:after="0" w:line="240" w:lineRule="auto"/>
              <w:jc w:val="center"/>
              <w:rPr>
                <w:rFonts w:ascii="Times New Roman" w:hAnsi="Times New Roman" w:cs="Times New Roman"/>
                <w:b/>
                <w:bCs/>
                <w:sz w:val="24"/>
                <w:szCs w:val="24"/>
              </w:rPr>
            </w:pPr>
          </w:p>
        </w:tc>
      </w:tr>
      <w:tr w:rsidR="00694F81" w:rsidRPr="00AC6513">
        <w:trPr>
          <w:trHeight w:val="454"/>
          <w:jc w:val="center"/>
        </w:trPr>
        <w:tc>
          <w:tcPr>
            <w:tcW w:w="556" w:type="dxa"/>
            <w:vAlign w:val="center"/>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6</w:t>
            </w:r>
          </w:p>
        </w:tc>
        <w:tc>
          <w:tcPr>
            <w:tcW w:w="3521"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276"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3012"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1632" w:type="dxa"/>
          </w:tcPr>
          <w:p w:rsidR="00694F81" w:rsidRPr="00AC6513" w:rsidRDefault="00694F81" w:rsidP="00AC6513">
            <w:pPr>
              <w:spacing w:after="0" w:line="240" w:lineRule="auto"/>
              <w:jc w:val="center"/>
              <w:rPr>
                <w:rFonts w:ascii="Times New Roman" w:hAnsi="Times New Roman" w:cs="Times New Roman"/>
                <w:b/>
                <w:bCs/>
                <w:sz w:val="24"/>
                <w:szCs w:val="24"/>
              </w:rPr>
            </w:pPr>
          </w:p>
        </w:tc>
      </w:tr>
    </w:tbl>
    <w:p w:rsidR="00694F81" w:rsidRPr="005B0C0C" w:rsidRDefault="00694F81" w:rsidP="006B6A9D">
      <w:pPr>
        <w:spacing w:after="0" w:line="240" w:lineRule="auto"/>
        <w:jc w:val="right"/>
        <w:rPr>
          <w:rFonts w:ascii="Times New Roman" w:hAnsi="Times New Roman" w:cs="Times New Roman"/>
          <w:b/>
          <w:bCs/>
          <w:sz w:val="24"/>
          <w:szCs w:val="24"/>
        </w:rPr>
      </w:pPr>
    </w:p>
    <w:tbl>
      <w:tblPr>
        <w:tblW w:w="0" w:type="auto"/>
        <w:tblInd w:w="-106" w:type="dxa"/>
        <w:tblLook w:val="00A0"/>
      </w:tblPr>
      <w:tblGrid>
        <w:gridCol w:w="1384"/>
        <w:gridCol w:w="1701"/>
        <w:gridCol w:w="1701"/>
        <w:gridCol w:w="1418"/>
        <w:gridCol w:w="3793"/>
      </w:tblGrid>
      <w:tr w:rsidR="00694F81" w:rsidRPr="00AC6513">
        <w:tc>
          <w:tcPr>
            <w:tcW w:w="1384" w:type="dxa"/>
          </w:tcPr>
          <w:p w:rsidR="00694F81" w:rsidRPr="00AC6513" w:rsidRDefault="00694F81" w:rsidP="00AC6513">
            <w:pPr>
              <w:spacing w:after="0" w:line="240" w:lineRule="auto"/>
              <w:jc w:val="right"/>
              <w:rPr>
                <w:rFonts w:ascii="Times New Roman" w:hAnsi="Times New Roman" w:cs="Times New Roman"/>
                <w:b/>
                <w:bCs/>
                <w:sz w:val="24"/>
                <w:szCs w:val="24"/>
              </w:rPr>
            </w:pPr>
          </w:p>
        </w:tc>
        <w:tc>
          <w:tcPr>
            <w:tcW w:w="1701" w:type="dxa"/>
          </w:tcPr>
          <w:p w:rsidR="00694F81" w:rsidRPr="00AC6513" w:rsidRDefault="00694F81" w:rsidP="00AC6513">
            <w:pPr>
              <w:spacing w:after="0" w:line="240" w:lineRule="auto"/>
              <w:rPr>
                <w:rFonts w:ascii="Times New Roman" w:hAnsi="Times New Roman" w:cs="Times New Roman"/>
                <w:b/>
                <w:bCs/>
                <w:sz w:val="24"/>
                <w:szCs w:val="24"/>
              </w:rPr>
            </w:pPr>
          </w:p>
        </w:tc>
        <w:tc>
          <w:tcPr>
            <w:tcW w:w="1701" w:type="dxa"/>
          </w:tcPr>
          <w:p w:rsidR="00694F81" w:rsidRPr="00AC6513" w:rsidRDefault="00694F81" w:rsidP="00AC6513">
            <w:pPr>
              <w:spacing w:after="0" w:line="240" w:lineRule="auto"/>
              <w:rPr>
                <w:rFonts w:ascii="Times New Roman" w:hAnsi="Times New Roman" w:cs="Times New Roman"/>
                <w:b/>
                <w:bCs/>
                <w:sz w:val="24"/>
                <w:szCs w:val="24"/>
              </w:rPr>
            </w:pPr>
          </w:p>
        </w:tc>
        <w:tc>
          <w:tcPr>
            <w:tcW w:w="1418" w:type="dxa"/>
          </w:tcPr>
          <w:p w:rsidR="00694F81" w:rsidRPr="00AC6513" w:rsidRDefault="00694F81" w:rsidP="00AC6513">
            <w:pPr>
              <w:spacing w:after="0" w:line="240" w:lineRule="auto"/>
              <w:rPr>
                <w:rFonts w:ascii="Times New Roman" w:hAnsi="Times New Roman" w:cs="Times New Roman"/>
                <w:b/>
                <w:bCs/>
                <w:sz w:val="24"/>
                <w:szCs w:val="24"/>
              </w:rPr>
            </w:pPr>
            <w:r w:rsidRPr="00AC6513">
              <w:rPr>
                <w:rFonts w:ascii="Times New Roman" w:hAnsi="Times New Roman" w:cs="Times New Roman"/>
                <w:b/>
                <w:bCs/>
                <w:sz w:val="24"/>
                <w:szCs w:val="24"/>
              </w:rPr>
              <w:t>Tiesnesis:</w:t>
            </w:r>
          </w:p>
        </w:tc>
        <w:tc>
          <w:tcPr>
            <w:tcW w:w="3793" w:type="dxa"/>
            <w:tcBorders>
              <w:bottom w:val="single" w:sz="4" w:space="0" w:color="auto"/>
            </w:tcBorders>
          </w:tcPr>
          <w:p w:rsidR="00694F81" w:rsidRPr="00AC6513" w:rsidRDefault="00694F81" w:rsidP="00AC6513">
            <w:pPr>
              <w:spacing w:after="0" w:line="240" w:lineRule="auto"/>
              <w:rPr>
                <w:rFonts w:ascii="Times New Roman" w:hAnsi="Times New Roman" w:cs="Times New Roman"/>
                <w:b/>
                <w:bCs/>
                <w:sz w:val="24"/>
                <w:szCs w:val="24"/>
              </w:rPr>
            </w:pPr>
          </w:p>
        </w:tc>
      </w:tr>
      <w:tr w:rsidR="00694F81" w:rsidRPr="00AC6513">
        <w:tc>
          <w:tcPr>
            <w:tcW w:w="1384" w:type="dxa"/>
          </w:tcPr>
          <w:p w:rsidR="00694F81" w:rsidRPr="00AC6513" w:rsidRDefault="00694F81" w:rsidP="00AC6513">
            <w:pPr>
              <w:spacing w:after="0" w:line="240" w:lineRule="auto"/>
              <w:jc w:val="right"/>
              <w:rPr>
                <w:rFonts w:ascii="Times New Roman" w:hAnsi="Times New Roman" w:cs="Times New Roman"/>
                <w:b/>
                <w:bCs/>
                <w:sz w:val="24"/>
                <w:szCs w:val="24"/>
              </w:rPr>
            </w:pPr>
          </w:p>
        </w:tc>
        <w:tc>
          <w:tcPr>
            <w:tcW w:w="1701" w:type="dxa"/>
          </w:tcPr>
          <w:p w:rsidR="00694F81" w:rsidRPr="00AC6513" w:rsidRDefault="00694F81" w:rsidP="00AC6513">
            <w:pPr>
              <w:spacing w:after="0" w:line="240" w:lineRule="auto"/>
              <w:rPr>
                <w:rFonts w:ascii="Times New Roman" w:hAnsi="Times New Roman" w:cs="Times New Roman"/>
                <w:b/>
                <w:bCs/>
                <w:sz w:val="24"/>
                <w:szCs w:val="24"/>
              </w:rPr>
            </w:pPr>
          </w:p>
        </w:tc>
        <w:tc>
          <w:tcPr>
            <w:tcW w:w="1701" w:type="dxa"/>
          </w:tcPr>
          <w:p w:rsidR="00694F81" w:rsidRPr="00AC6513" w:rsidRDefault="00694F81" w:rsidP="00AC6513">
            <w:pPr>
              <w:spacing w:after="0" w:line="240" w:lineRule="auto"/>
              <w:rPr>
                <w:rFonts w:ascii="Times New Roman" w:hAnsi="Times New Roman" w:cs="Times New Roman"/>
                <w:b/>
                <w:bCs/>
                <w:sz w:val="24"/>
                <w:szCs w:val="24"/>
              </w:rPr>
            </w:pPr>
          </w:p>
        </w:tc>
        <w:tc>
          <w:tcPr>
            <w:tcW w:w="1418" w:type="dxa"/>
          </w:tcPr>
          <w:p w:rsidR="00694F81" w:rsidRPr="00AC6513" w:rsidRDefault="00694F81" w:rsidP="00AC6513">
            <w:pPr>
              <w:spacing w:after="0" w:line="240" w:lineRule="auto"/>
              <w:rPr>
                <w:rFonts w:ascii="Times New Roman" w:hAnsi="Times New Roman" w:cs="Times New Roman"/>
                <w:b/>
                <w:bCs/>
                <w:sz w:val="24"/>
                <w:szCs w:val="24"/>
              </w:rPr>
            </w:pPr>
          </w:p>
        </w:tc>
        <w:tc>
          <w:tcPr>
            <w:tcW w:w="3793" w:type="dxa"/>
          </w:tcPr>
          <w:p w:rsidR="00694F81" w:rsidRPr="00AC6513" w:rsidRDefault="00694F81" w:rsidP="00AC6513">
            <w:pPr>
              <w:spacing w:after="0" w:line="240" w:lineRule="auto"/>
              <w:rPr>
                <w:rFonts w:ascii="Times New Roman" w:hAnsi="Times New Roman" w:cs="Times New Roman"/>
                <w:b/>
                <w:bCs/>
                <w:sz w:val="24"/>
                <w:szCs w:val="24"/>
              </w:rPr>
            </w:pPr>
          </w:p>
        </w:tc>
      </w:tr>
      <w:tr w:rsidR="00694F81" w:rsidRPr="00AC6513">
        <w:tc>
          <w:tcPr>
            <w:tcW w:w="1384" w:type="dxa"/>
          </w:tcPr>
          <w:p w:rsidR="00694F81" w:rsidRPr="00AC6513" w:rsidRDefault="00694F81" w:rsidP="00AC6513">
            <w:pPr>
              <w:spacing w:after="0" w:line="240" w:lineRule="auto"/>
              <w:jc w:val="right"/>
              <w:rPr>
                <w:rFonts w:ascii="Times New Roman" w:hAnsi="Times New Roman" w:cs="Times New Roman"/>
                <w:b/>
                <w:bCs/>
                <w:sz w:val="24"/>
                <w:szCs w:val="24"/>
              </w:rPr>
            </w:pPr>
            <w:r w:rsidRPr="00AC6513">
              <w:rPr>
                <w:rFonts w:ascii="Times New Roman" w:hAnsi="Times New Roman" w:cs="Times New Roman"/>
                <w:b/>
                <w:bCs/>
                <w:sz w:val="24"/>
                <w:szCs w:val="24"/>
              </w:rPr>
              <w:t>Datums:</w:t>
            </w:r>
          </w:p>
        </w:tc>
        <w:tc>
          <w:tcPr>
            <w:tcW w:w="1701" w:type="dxa"/>
            <w:tcBorders>
              <w:bottom w:val="single" w:sz="4" w:space="0" w:color="auto"/>
            </w:tcBorders>
          </w:tcPr>
          <w:p w:rsidR="00694F81" w:rsidRPr="00AC6513" w:rsidRDefault="00694F81" w:rsidP="00AC6513">
            <w:pPr>
              <w:spacing w:after="0" w:line="240" w:lineRule="auto"/>
              <w:rPr>
                <w:rFonts w:ascii="Times New Roman" w:hAnsi="Times New Roman" w:cs="Times New Roman"/>
                <w:b/>
                <w:bCs/>
                <w:sz w:val="24"/>
                <w:szCs w:val="24"/>
              </w:rPr>
            </w:pPr>
          </w:p>
        </w:tc>
        <w:tc>
          <w:tcPr>
            <w:tcW w:w="1701" w:type="dxa"/>
          </w:tcPr>
          <w:p w:rsidR="00694F81" w:rsidRPr="00AC6513" w:rsidRDefault="00694F81" w:rsidP="00AC6513">
            <w:pPr>
              <w:spacing w:after="0" w:line="240" w:lineRule="auto"/>
              <w:rPr>
                <w:rFonts w:ascii="Times New Roman" w:hAnsi="Times New Roman" w:cs="Times New Roman"/>
                <w:b/>
                <w:bCs/>
                <w:sz w:val="24"/>
                <w:szCs w:val="24"/>
              </w:rPr>
            </w:pPr>
          </w:p>
        </w:tc>
        <w:tc>
          <w:tcPr>
            <w:tcW w:w="1418" w:type="dxa"/>
          </w:tcPr>
          <w:p w:rsidR="00694F81" w:rsidRPr="00AC6513" w:rsidRDefault="00694F81" w:rsidP="00AC6513">
            <w:pPr>
              <w:spacing w:after="0" w:line="240" w:lineRule="auto"/>
              <w:rPr>
                <w:rFonts w:ascii="Times New Roman" w:hAnsi="Times New Roman" w:cs="Times New Roman"/>
                <w:b/>
                <w:bCs/>
                <w:sz w:val="24"/>
                <w:szCs w:val="24"/>
              </w:rPr>
            </w:pPr>
            <w:r w:rsidRPr="00AC6513">
              <w:rPr>
                <w:rFonts w:ascii="Times New Roman" w:hAnsi="Times New Roman" w:cs="Times New Roman"/>
                <w:b/>
                <w:bCs/>
                <w:sz w:val="24"/>
                <w:szCs w:val="24"/>
              </w:rPr>
              <w:t>Kapteinis:</w:t>
            </w:r>
          </w:p>
        </w:tc>
        <w:tc>
          <w:tcPr>
            <w:tcW w:w="3793" w:type="dxa"/>
            <w:tcBorders>
              <w:bottom w:val="single" w:sz="4" w:space="0" w:color="auto"/>
            </w:tcBorders>
          </w:tcPr>
          <w:p w:rsidR="00694F81" w:rsidRPr="00AC6513" w:rsidRDefault="00694F81" w:rsidP="00AC6513">
            <w:pPr>
              <w:spacing w:after="0" w:line="240" w:lineRule="auto"/>
              <w:rPr>
                <w:rFonts w:ascii="Times New Roman" w:hAnsi="Times New Roman" w:cs="Times New Roman"/>
                <w:b/>
                <w:bCs/>
                <w:sz w:val="24"/>
                <w:szCs w:val="24"/>
              </w:rPr>
            </w:pPr>
          </w:p>
        </w:tc>
      </w:tr>
      <w:tr w:rsidR="00694F81" w:rsidRPr="00AC6513">
        <w:tc>
          <w:tcPr>
            <w:tcW w:w="1384" w:type="dxa"/>
          </w:tcPr>
          <w:p w:rsidR="00694F81" w:rsidRPr="00AC6513" w:rsidRDefault="00694F81" w:rsidP="00AC6513">
            <w:pPr>
              <w:spacing w:after="0" w:line="240" w:lineRule="auto"/>
              <w:rPr>
                <w:rFonts w:ascii="Times New Roman" w:hAnsi="Times New Roman" w:cs="Times New Roman"/>
                <w:b/>
                <w:bCs/>
                <w:sz w:val="24"/>
                <w:szCs w:val="24"/>
              </w:rPr>
            </w:pPr>
          </w:p>
        </w:tc>
        <w:tc>
          <w:tcPr>
            <w:tcW w:w="1701" w:type="dxa"/>
            <w:tcBorders>
              <w:top w:val="single" w:sz="4" w:space="0" w:color="auto"/>
            </w:tcBorders>
          </w:tcPr>
          <w:p w:rsidR="00694F81" w:rsidRPr="00AC6513" w:rsidRDefault="00694F81" w:rsidP="00AC6513">
            <w:pPr>
              <w:spacing w:after="0" w:line="240" w:lineRule="auto"/>
              <w:rPr>
                <w:rFonts w:ascii="Times New Roman" w:hAnsi="Times New Roman" w:cs="Times New Roman"/>
                <w:b/>
                <w:bCs/>
                <w:sz w:val="24"/>
                <w:szCs w:val="24"/>
              </w:rPr>
            </w:pPr>
          </w:p>
        </w:tc>
        <w:tc>
          <w:tcPr>
            <w:tcW w:w="1701" w:type="dxa"/>
          </w:tcPr>
          <w:p w:rsidR="00694F81" w:rsidRPr="00AC6513" w:rsidRDefault="00694F81" w:rsidP="00AC6513">
            <w:pPr>
              <w:spacing w:after="0" w:line="240" w:lineRule="auto"/>
              <w:rPr>
                <w:rFonts w:ascii="Times New Roman" w:hAnsi="Times New Roman" w:cs="Times New Roman"/>
                <w:b/>
                <w:bCs/>
                <w:sz w:val="24"/>
                <w:szCs w:val="24"/>
              </w:rPr>
            </w:pPr>
          </w:p>
        </w:tc>
        <w:tc>
          <w:tcPr>
            <w:tcW w:w="1418"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3793" w:type="dxa"/>
            <w:tcBorders>
              <w:top w:val="single" w:sz="4" w:space="0" w:color="auto"/>
            </w:tcBorders>
          </w:tcPr>
          <w:p w:rsidR="00694F81" w:rsidRPr="00AC6513" w:rsidRDefault="00694F81" w:rsidP="00AC6513">
            <w:pPr>
              <w:spacing w:after="0" w:line="240" w:lineRule="auto"/>
              <w:jc w:val="center"/>
              <w:rPr>
                <w:rFonts w:ascii="Times New Roman" w:hAnsi="Times New Roman" w:cs="Times New Roman"/>
                <w:b/>
                <w:bCs/>
                <w:sz w:val="24"/>
                <w:szCs w:val="24"/>
              </w:rPr>
            </w:pPr>
            <w:r w:rsidRPr="00AC6513">
              <w:rPr>
                <w:rFonts w:ascii="Times New Roman" w:hAnsi="Times New Roman" w:cs="Times New Roman"/>
                <w:b/>
                <w:bCs/>
                <w:sz w:val="24"/>
                <w:szCs w:val="24"/>
              </w:rPr>
              <w:t>(vārds, uzvārds, paraksts)</w:t>
            </w:r>
          </w:p>
        </w:tc>
      </w:tr>
      <w:tr w:rsidR="00694F81" w:rsidRPr="00AC6513">
        <w:tc>
          <w:tcPr>
            <w:tcW w:w="1384" w:type="dxa"/>
          </w:tcPr>
          <w:p w:rsidR="00694F81" w:rsidRPr="00AC6513" w:rsidRDefault="00694F81" w:rsidP="00AC6513">
            <w:pPr>
              <w:spacing w:after="0" w:line="240" w:lineRule="auto"/>
              <w:jc w:val="right"/>
              <w:rPr>
                <w:rFonts w:ascii="Times New Roman" w:hAnsi="Times New Roman" w:cs="Times New Roman"/>
                <w:b/>
                <w:bCs/>
                <w:sz w:val="24"/>
                <w:szCs w:val="24"/>
              </w:rPr>
            </w:pPr>
            <w:r w:rsidRPr="00AC6513">
              <w:rPr>
                <w:rFonts w:ascii="Times New Roman" w:hAnsi="Times New Roman" w:cs="Times New Roman"/>
                <w:b/>
                <w:bCs/>
                <w:sz w:val="24"/>
                <w:szCs w:val="24"/>
              </w:rPr>
              <w:t>E-pasts:</w:t>
            </w:r>
          </w:p>
        </w:tc>
        <w:tc>
          <w:tcPr>
            <w:tcW w:w="1701" w:type="dxa"/>
            <w:tcBorders>
              <w:bottom w:val="single" w:sz="4" w:space="0" w:color="auto"/>
            </w:tcBorders>
          </w:tcPr>
          <w:p w:rsidR="00694F81" w:rsidRPr="00AC6513" w:rsidRDefault="00694F81" w:rsidP="00AC6513">
            <w:pPr>
              <w:spacing w:after="0" w:line="240" w:lineRule="auto"/>
              <w:rPr>
                <w:rFonts w:ascii="Times New Roman" w:hAnsi="Times New Roman" w:cs="Times New Roman"/>
                <w:b/>
                <w:bCs/>
                <w:sz w:val="24"/>
                <w:szCs w:val="24"/>
              </w:rPr>
            </w:pPr>
          </w:p>
        </w:tc>
        <w:tc>
          <w:tcPr>
            <w:tcW w:w="1701" w:type="dxa"/>
            <w:tcBorders>
              <w:bottom w:val="single" w:sz="4" w:space="0" w:color="auto"/>
            </w:tcBorders>
          </w:tcPr>
          <w:p w:rsidR="00694F81" w:rsidRPr="00AC6513" w:rsidRDefault="00694F81" w:rsidP="00AC6513">
            <w:pPr>
              <w:spacing w:after="0" w:line="240" w:lineRule="auto"/>
              <w:rPr>
                <w:rFonts w:ascii="Times New Roman" w:hAnsi="Times New Roman" w:cs="Times New Roman"/>
                <w:b/>
                <w:bCs/>
                <w:sz w:val="24"/>
                <w:szCs w:val="24"/>
              </w:rPr>
            </w:pPr>
          </w:p>
        </w:tc>
        <w:tc>
          <w:tcPr>
            <w:tcW w:w="1418" w:type="dxa"/>
          </w:tcPr>
          <w:p w:rsidR="00694F81" w:rsidRPr="00AC6513" w:rsidRDefault="00694F81" w:rsidP="00AC6513">
            <w:pPr>
              <w:spacing w:after="0" w:line="240" w:lineRule="auto"/>
              <w:jc w:val="center"/>
              <w:rPr>
                <w:rFonts w:ascii="Times New Roman" w:hAnsi="Times New Roman" w:cs="Times New Roman"/>
                <w:b/>
                <w:bCs/>
                <w:sz w:val="24"/>
                <w:szCs w:val="24"/>
              </w:rPr>
            </w:pPr>
          </w:p>
        </w:tc>
        <w:tc>
          <w:tcPr>
            <w:tcW w:w="3793" w:type="dxa"/>
          </w:tcPr>
          <w:p w:rsidR="00694F81" w:rsidRPr="00AC6513" w:rsidRDefault="00694F81" w:rsidP="00AC6513">
            <w:pPr>
              <w:spacing w:after="0" w:line="240" w:lineRule="auto"/>
              <w:jc w:val="center"/>
              <w:rPr>
                <w:rFonts w:ascii="Times New Roman" w:hAnsi="Times New Roman" w:cs="Times New Roman"/>
                <w:b/>
                <w:bCs/>
                <w:sz w:val="24"/>
                <w:szCs w:val="24"/>
              </w:rPr>
            </w:pPr>
          </w:p>
        </w:tc>
      </w:tr>
    </w:tbl>
    <w:p w:rsidR="00694F81" w:rsidRPr="00550FB5" w:rsidRDefault="00694F81" w:rsidP="001C1FCC">
      <w:pPr>
        <w:spacing w:after="0" w:line="240" w:lineRule="auto"/>
        <w:rPr>
          <w:rFonts w:ascii="Times New Roman" w:hAnsi="Times New Roman" w:cs="Times New Roman"/>
          <w:sz w:val="28"/>
          <w:szCs w:val="28"/>
        </w:rPr>
      </w:pPr>
    </w:p>
    <w:sectPr w:rsidR="00694F81" w:rsidRPr="00550FB5" w:rsidSect="00806A78">
      <w:pgSz w:w="11906" w:h="16838"/>
      <w:pgMar w:top="851" w:right="991"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1646F"/>
    <w:multiLevelType w:val="hybridMultilevel"/>
    <w:tmpl w:val="6DF027B4"/>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51EE"/>
    <w:rsid w:val="000D15AD"/>
    <w:rsid w:val="000E281D"/>
    <w:rsid w:val="00104EAA"/>
    <w:rsid w:val="001C1FCC"/>
    <w:rsid w:val="0022222F"/>
    <w:rsid w:val="00262AAA"/>
    <w:rsid w:val="002651EE"/>
    <w:rsid w:val="00395D4F"/>
    <w:rsid w:val="004032A2"/>
    <w:rsid w:val="00472BAD"/>
    <w:rsid w:val="004978DB"/>
    <w:rsid w:val="00534743"/>
    <w:rsid w:val="00550FB5"/>
    <w:rsid w:val="00587504"/>
    <w:rsid w:val="005B0C0C"/>
    <w:rsid w:val="005D7E4D"/>
    <w:rsid w:val="00622356"/>
    <w:rsid w:val="00694F81"/>
    <w:rsid w:val="006B6A9D"/>
    <w:rsid w:val="006C2F71"/>
    <w:rsid w:val="007A1233"/>
    <w:rsid w:val="007F081B"/>
    <w:rsid w:val="00806A78"/>
    <w:rsid w:val="00826601"/>
    <w:rsid w:val="008B432C"/>
    <w:rsid w:val="00A36FF4"/>
    <w:rsid w:val="00A869D0"/>
    <w:rsid w:val="00AA0772"/>
    <w:rsid w:val="00AC6513"/>
    <w:rsid w:val="00B944ED"/>
    <w:rsid w:val="00C571C5"/>
    <w:rsid w:val="00C950DB"/>
    <w:rsid w:val="00FA7CD9"/>
    <w:rsid w:val="00FF5B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AA"/>
    <w:pPr>
      <w:spacing w:after="200" w:line="276" w:lineRule="auto"/>
    </w:pPr>
    <w:rPr>
      <w:rFonts w:cs="Calibri"/>
      <w:lang w:val="lv-LV"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651EE"/>
    <w:pPr>
      <w:spacing w:before="100" w:beforeAutospacing="1" w:after="100" w:afterAutospacing="1" w:line="240" w:lineRule="auto"/>
    </w:pPr>
    <w:rPr>
      <w:rFonts w:cs="Times New Roman"/>
      <w:sz w:val="24"/>
      <w:szCs w:val="24"/>
    </w:rPr>
  </w:style>
  <w:style w:type="character" w:styleId="Strong">
    <w:name w:val="Strong"/>
    <w:basedOn w:val="DefaultParagraphFont"/>
    <w:uiPriority w:val="99"/>
    <w:qFormat/>
    <w:rsid w:val="002651EE"/>
    <w:rPr>
      <w:b/>
      <w:bCs/>
    </w:rPr>
  </w:style>
  <w:style w:type="paragraph" w:styleId="BalloonText">
    <w:name w:val="Balloon Text"/>
    <w:basedOn w:val="Normal"/>
    <w:link w:val="BalloonTextChar"/>
    <w:uiPriority w:val="99"/>
    <w:semiHidden/>
    <w:rsid w:val="00C57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71C5"/>
    <w:rPr>
      <w:rFonts w:ascii="Tahoma" w:hAnsi="Tahoma" w:cs="Tahoma"/>
      <w:sz w:val="16"/>
      <w:szCs w:val="16"/>
    </w:rPr>
  </w:style>
  <w:style w:type="character" w:styleId="Hyperlink">
    <w:name w:val="Hyperlink"/>
    <w:basedOn w:val="DefaultParagraphFont"/>
    <w:uiPriority w:val="99"/>
    <w:rsid w:val="00A36FF4"/>
    <w:rPr>
      <w:color w:val="0000FF"/>
      <w:u w:val="single"/>
    </w:rPr>
  </w:style>
  <w:style w:type="table" w:styleId="TableGrid">
    <w:name w:val="Table Grid"/>
    <w:basedOn w:val="TableNormal"/>
    <w:uiPriority w:val="99"/>
    <w:rsid w:val="00472BA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0437407">
      <w:marLeft w:val="0"/>
      <w:marRight w:val="0"/>
      <w:marTop w:val="0"/>
      <w:marBottom w:val="0"/>
      <w:divBdr>
        <w:top w:val="none" w:sz="0" w:space="0" w:color="auto"/>
        <w:left w:val="none" w:sz="0" w:space="0" w:color="auto"/>
        <w:bottom w:val="none" w:sz="0" w:space="0" w:color="auto"/>
        <w:right w:val="none" w:sz="0" w:space="0" w:color="auto"/>
      </w:divBdr>
    </w:div>
    <w:div w:id="1900437408">
      <w:marLeft w:val="0"/>
      <w:marRight w:val="0"/>
      <w:marTop w:val="0"/>
      <w:marBottom w:val="0"/>
      <w:divBdr>
        <w:top w:val="none" w:sz="0" w:space="0" w:color="auto"/>
        <w:left w:val="none" w:sz="0" w:space="0" w:color="auto"/>
        <w:bottom w:val="none" w:sz="0" w:space="0" w:color="auto"/>
        <w:right w:val="none" w:sz="0" w:space="0" w:color="auto"/>
      </w:divBdr>
    </w:div>
    <w:div w:id="1900437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992</Words>
  <Characters>5659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Handball” 2014 nolikums</dc:title>
  <dc:subject/>
  <dc:creator>Edmunds-PC</dc:creator>
  <cp:keywords/>
  <dc:description/>
  <cp:lastModifiedBy>user</cp:lastModifiedBy>
  <cp:revision>2</cp:revision>
  <cp:lastPrinted>2014-04-02T10:16:00Z</cp:lastPrinted>
  <dcterms:created xsi:type="dcterms:W3CDTF">2014-04-22T08:28:00Z</dcterms:created>
  <dcterms:modified xsi:type="dcterms:W3CDTF">2014-04-22T08:28:00Z</dcterms:modified>
</cp:coreProperties>
</file>